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2" w:type="pct"/>
        <w:jc w:val="center"/>
        <w:tblCellSpacing w:w="0" w:type="dxa"/>
        <w:tblInd w:w="-44" w:type="dxa"/>
        <w:tblCellMar>
          <w:left w:w="0" w:type="dxa"/>
          <w:right w:w="0" w:type="dxa"/>
        </w:tblCellMar>
        <w:tblLook w:val="04A0"/>
      </w:tblPr>
      <w:tblGrid>
        <w:gridCol w:w="10554"/>
      </w:tblGrid>
      <w:tr w:rsidR="00652316" w:rsidTr="00644D7E">
        <w:trPr>
          <w:trHeight w:val="750"/>
          <w:tblCellSpacing w:w="0" w:type="dxa"/>
          <w:jc w:val="center"/>
        </w:trPr>
        <w:tc>
          <w:tcPr>
            <w:tcW w:w="5000" w:type="pct"/>
            <w:vAlign w:val="center"/>
            <w:hideMark/>
          </w:tcPr>
          <w:p w:rsidR="00BF07B1" w:rsidRDefault="00652316" w:rsidP="00B46C2E">
            <w:pPr>
              <w:spacing w:before="100" w:beforeAutospacing="1" w:after="100" w:afterAutospacing="1" w:line="240" w:lineRule="auto"/>
              <w:jc w:val="center"/>
              <w:rPr>
                <w:rFonts w:ascii="Times New Roman" w:eastAsia="Times New Roman" w:hAnsi="Times New Roman" w:cs="Times New Roman"/>
                <w:b/>
                <w:bCs/>
                <w:color w:val="101010"/>
                <w:lang w:eastAsia="tr-TR"/>
              </w:rPr>
            </w:pPr>
            <w:r>
              <w:rPr>
                <w:rFonts w:ascii="Times New Roman" w:eastAsia="Times New Roman" w:hAnsi="Times New Roman" w:cs="Times New Roman"/>
                <w:b/>
                <w:bCs/>
                <w:color w:val="101010"/>
                <w:lang w:eastAsia="tr-TR"/>
              </w:rPr>
              <w:t>2011E020100 “Yeni İnşaat, Kılavuzluk, Fener ve Tahlisiye İstasyonları Modernizasyonu ” Projesi:</w:t>
            </w:r>
          </w:p>
          <w:p w:rsidR="00BF07B1" w:rsidRDefault="00652316" w:rsidP="00BF07B1">
            <w:pPr>
              <w:spacing w:before="100" w:beforeAutospacing="1" w:after="100" w:afterAutospacing="1" w:line="240" w:lineRule="auto"/>
              <w:jc w:val="both"/>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 xml:space="preserve">            </w:t>
            </w:r>
            <w:proofErr w:type="gramStart"/>
            <w:r>
              <w:rPr>
                <w:rFonts w:ascii="Times New Roman" w:eastAsia="Times New Roman" w:hAnsi="Times New Roman" w:cs="Times New Roman"/>
                <w:color w:val="101010"/>
                <w:lang w:eastAsia="tr-TR"/>
              </w:rPr>
              <w:t xml:space="preserve">Kıyı Emniyeti Genel Müdürlüğü’nün amacı; denizlerimizde ve karasularımızda seyreden Türk ve yabancı bayraklı gemilerin seyir güvenliğine yardımcı olmak, kıyı emniyeti ve gemi kurtarma hizmetleri ile kılavuzluk, römorkörcülük hizmetleri yapmak ve bunlarla ilgili cihaz ve tesislerini kurmak, işletmek, can, mal ve gemi kurtarmak, yardım, çeki, batık çıkarmak ve bunlarla ilgili </w:t>
            </w:r>
            <w:proofErr w:type="spellStart"/>
            <w:r>
              <w:rPr>
                <w:rFonts w:ascii="Times New Roman" w:eastAsia="Times New Roman" w:hAnsi="Times New Roman" w:cs="Times New Roman"/>
                <w:color w:val="101010"/>
                <w:lang w:eastAsia="tr-TR"/>
              </w:rPr>
              <w:t>römorkaj</w:t>
            </w:r>
            <w:proofErr w:type="spellEnd"/>
            <w:r>
              <w:rPr>
                <w:rFonts w:ascii="Times New Roman" w:eastAsia="Times New Roman" w:hAnsi="Times New Roman" w:cs="Times New Roman"/>
                <w:color w:val="101010"/>
                <w:lang w:eastAsia="tr-TR"/>
              </w:rPr>
              <w:t xml:space="preserve"> ve dalgıçlık hizmetlerini yürütmek, güvenli seyre yönelik kurulmuş ve kurulacak olan sahil telsiz istasyonları, Otomatik Tanımlama Sistemi, </w:t>
            </w:r>
            <w:proofErr w:type="spellStart"/>
            <w:r>
              <w:rPr>
                <w:rFonts w:ascii="Times New Roman" w:eastAsia="Times New Roman" w:hAnsi="Times New Roman" w:cs="Times New Roman"/>
                <w:color w:val="101010"/>
                <w:lang w:eastAsia="tr-TR"/>
              </w:rPr>
              <w:t>dGPS</w:t>
            </w:r>
            <w:proofErr w:type="spellEnd"/>
            <w:r>
              <w:rPr>
                <w:rFonts w:ascii="Times New Roman" w:eastAsia="Times New Roman" w:hAnsi="Times New Roman" w:cs="Times New Roman"/>
                <w:color w:val="101010"/>
                <w:lang w:eastAsia="tr-TR"/>
              </w:rPr>
              <w:t xml:space="preserve"> ve benzeri sistemlerle ilgili her türlü yatırımı yapmak ve tekel şeklinde işleterek seyir emniyetini art</w:t>
            </w:r>
            <w:r w:rsidR="000A646A">
              <w:rPr>
                <w:rFonts w:ascii="Times New Roman" w:eastAsia="Times New Roman" w:hAnsi="Times New Roman" w:cs="Times New Roman"/>
                <w:color w:val="101010"/>
                <w:lang w:eastAsia="tr-TR"/>
              </w:rPr>
              <w:t>t</w:t>
            </w:r>
            <w:r>
              <w:rPr>
                <w:rFonts w:ascii="Times New Roman" w:eastAsia="Times New Roman" w:hAnsi="Times New Roman" w:cs="Times New Roman"/>
                <w:color w:val="101010"/>
                <w:lang w:eastAsia="tr-TR"/>
              </w:rPr>
              <w:t>ırmaktır.</w:t>
            </w:r>
            <w:proofErr w:type="gramEnd"/>
          </w:p>
          <w:p w:rsidR="00652316" w:rsidRDefault="00652316" w:rsidP="00BF07B1">
            <w:pPr>
              <w:spacing w:before="100" w:beforeAutospacing="1" w:after="100" w:afterAutospacing="1" w:line="240" w:lineRule="auto"/>
              <w:jc w:val="both"/>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Kuruluşumuz faaliyetlerini 3 adedinde otorite olmak üzere 7 temel alanda sürdürmektedir.</w:t>
            </w:r>
          </w:p>
          <w:p w:rsidR="00652316" w:rsidRDefault="00652316" w:rsidP="00B000D0">
            <w:pPr>
              <w:numPr>
                <w:ilvl w:val="0"/>
                <w:numId w:val="1"/>
              </w:numPr>
              <w:tabs>
                <w:tab w:val="num" w:pos="1068"/>
              </w:tabs>
              <w:adjustRightInd w:val="0"/>
              <w:spacing w:before="100" w:beforeAutospacing="1" w:after="100" w:afterAutospacing="1" w:line="240" w:lineRule="auto"/>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 xml:space="preserve">Belirlenen Saha İçerisinde Tekel Olmak Üzere Tüm Denizlerde Gemi Kurtarma </w:t>
            </w:r>
          </w:p>
          <w:p w:rsidR="00652316" w:rsidRDefault="00652316" w:rsidP="00B000D0">
            <w:pPr>
              <w:numPr>
                <w:ilvl w:val="0"/>
                <w:numId w:val="1"/>
              </w:numPr>
              <w:tabs>
                <w:tab w:val="num" w:pos="1068"/>
              </w:tabs>
              <w:adjustRightInd w:val="0"/>
              <w:spacing w:before="100" w:beforeAutospacing="1" w:after="100" w:afterAutospacing="1" w:line="240" w:lineRule="auto"/>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 xml:space="preserve">Tahlisiye (Can Kurtarma) </w:t>
            </w:r>
          </w:p>
          <w:p w:rsidR="00652316" w:rsidRDefault="00652316" w:rsidP="00B000D0">
            <w:pPr>
              <w:numPr>
                <w:ilvl w:val="0"/>
                <w:numId w:val="1"/>
              </w:numPr>
              <w:tabs>
                <w:tab w:val="num" w:pos="1068"/>
              </w:tabs>
              <w:adjustRightInd w:val="0"/>
              <w:spacing w:before="100" w:beforeAutospacing="1" w:after="100" w:afterAutospacing="1" w:line="240" w:lineRule="auto"/>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Türk Boğazları Gemi Trafik Hizmetleri Otoritesi</w:t>
            </w:r>
          </w:p>
          <w:p w:rsidR="00652316" w:rsidRDefault="00652316" w:rsidP="00B000D0">
            <w:pPr>
              <w:numPr>
                <w:ilvl w:val="0"/>
                <w:numId w:val="1"/>
              </w:numPr>
              <w:tabs>
                <w:tab w:val="num" w:pos="1068"/>
              </w:tabs>
              <w:adjustRightInd w:val="0"/>
              <w:spacing w:before="100" w:beforeAutospacing="1" w:after="100" w:afterAutospacing="1" w:line="240" w:lineRule="auto"/>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Fenerler Otoritesi</w:t>
            </w:r>
          </w:p>
          <w:p w:rsidR="00652316" w:rsidRDefault="00652316" w:rsidP="00B000D0">
            <w:pPr>
              <w:numPr>
                <w:ilvl w:val="0"/>
                <w:numId w:val="1"/>
              </w:numPr>
              <w:tabs>
                <w:tab w:val="num" w:pos="1068"/>
              </w:tabs>
              <w:adjustRightInd w:val="0"/>
              <w:spacing w:before="100" w:beforeAutospacing="1" w:after="100" w:afterAutospacing="1" w:line="240" w:lineRule="auto"/>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 xml:space="preserve">Deniz Haberleşmede Hesaplaşma Otoritesi Ve </w:t>
            </w:r>
            <w:proofErr w:type="spellStart"/>
            <w:r>
              <w:rPr>
                <w:rFonts w:ascii="Times New Roman" w:eastAsia="Times New Roman" w:hAnsi="Times New Roman" w:cs="Times New Roman"/>
                <w:color w:val="101010"/>
                <w:lang w:eastAsia="tr-TR"/>
              </w:rPr>
              <w:t>Navteks</w:t>
            </w:r>
            <w:proofErr w:type="spellEnd"/>
            <w:r>
              <w:rPr>
                <w:rFonts w:ascii="Times New Roman" w:eastAsia="Times New Roman" w:hAnsi="Times New Roman" w:cs="Times New Roman"/>
                <w:color w:val="101010"/>
                <w:lang w:eastAsia="tr-TR"/>
              </w:rPr>
              <w:t xml:space="preserve"> Yayın Koordinatörü</w:t>
            </w:r>
          </w:p>
          <w:p w:rsidR="00652316" w:rsidRDefault="00652316" w:rsidP="00B000D0">
            <w:pPr>
              <w:numPr>
                <w:ilvl w:val="0"/>
                <w:numId w:val="1"/>
              </w:numPr>
              <w:tabs>
                <w:tab w:val="num" w:pos="1068"/>
              </w:tabs>
              <w:adjustRightInd w:val="0"/>
              <w:spacing w:before="100" w:beforeAutospacing="1" w:after="100" w:afterAutospacing="1" w:line="240" w:lineRule="auto"/>
              <w:rPr>
                <w:rFonts w:ascii="Times New Roman" w:eastAsia="Times New Roman" w:hAnsi="Times New Roman" w:cs="Times New Roman"/>
                <w:color w:val="101010"/>
                <w:lang w:eastAsia="tr-TR"/>
              </w:rPr>
            </w:pPr>
            <w:r>
              <w:rPr>
                <w:rFonts w:ascii="Times New Roman" w:eastAsia="Times New Roman" w:hAnsi="Times New Roman" w:cs="Times New Roman"/>
                <w:color w:val="101010"/>
                <w:lang w:eastAsia="tr-TR"/>
              </w:rPr>
              <w:t>Kılavuzluk Hizmeti</w:t>
            </w:r>
          </w:p>
          <w:p w:rsidR="00652316" w:rsidRDefault="00652316" w:rsidP="00B000D0">
            <w:pPr>
              <w:numPr>
                <w:ilvl w:val="0"/>
                <w:numId w:val="1"/>
              </w:numPr>
              <w:tabs>
                <w:tab w:val="num" w:pos="1068"/>
              </w:tabs>
              <w:adjustRightInd w:val="0"/>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Römorkörcülük Hizmeti</w:t>
            </w:r>
          </w:p>
          <w:p w:rsidR="0073601A" w:rsidRDefault="0073601A">
            <w:pPr>
              <w:spacing w:before="100" w:beforeAutospacing="1" w:after="100" w:afterAutospacing="1" w:line="240" w:lineRule="auto"/>
              <w:jc w:val="both"/>
              <w:rPr>
                <w:rFonts w:ascii="Times New Roman" w:eastAsia="Times New Roman" w:hAnsi="Times New Roman" w:cs="Times New Roman"/>
                <w:bCs/>
                <w:color w:val="000000"/>
                <w:lang w:eastAsia="tr-TR"/>
              </w:rPr>
            </w:pPr>
            <w:r>
              <w:rPr>
                <w:rFonts w:ascii="Times New Roman" w:eastAsia="Times New Roman" w:hAnsi="Times New Roman" w:cs="Times New Roman"/>
                <w:lang w:eastAsia="tr-TR"/>
              </w:rPr>
              <w:t>Bu hizmetler ile ilgili</w:t>
            </w:r>
            <w:r w:rsidRPr="0073601A">
              <w:rPr>
                <w:rFonts w:ascii="Times New Roman" w:eastAsia="Times New Roman" w:hAnsi="Times New Roman" w:cs="Times New Roman"/>
                <w:bCs/>
                <w:color w:val="000000"/>
                <w:lang w:eastAsia="tr-TR"/>
              </w:rPr>
              <w:t xml:space="preserve"> İstasyonları</w:t>
            </w:r>
            <w:r>
              <w:rPr>
                <w:rFonts w:ascii="Times New Roman" w:eastAsia="Times New Roman" w:hAnsi="Times New Roman" w:cs="Times New Roman"/>
                <w:bCs/>
                <w:color w:val="000000"/>
                <w:lang w:eastAsia="tr-TR"/>
              </w:rPr>
              <w:t>nın çağın gereksinimlerine göre modernize edilmesi gerekmektedir.</w:t>
            </w:r>
          </w:p>
          <w:p w:rsidR="00644D7E" w:rsidRDefault="00652316">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Bu kapsamda; 2014 Yılı Yatırım Programında, “Toplulaştırılmış Projeler” grubunda yer alan 2011E020100 No.lu “ Yeni İnşaat, Kılavuzluk, Fener ve Tahlisiye İstasyonları Modernizasyonu ” projesi detay programı Ulaştırma, Denizcilik ve Haberleşme Bakanlığının </w:t>
            </w:r>
            <w:r w:rsidR="00855707">
              <w:rPr>
                <w:rFonts w:ascii="Times New Roman" w:eastAsia="Times New Roman" w:hAnsi="Times New Roman" w:cs="Times New Roman"/>
                <w:lang w:eastAsia="tr-TR"/>
              </w:rPr>
              <w:t xml:space="preserve">12 </w:t>
            </w:r>
            <w:r>
              <w:rPr>
                <w:rFonts w:ascii="Times New Roman" w:eastAsia="Times New Roman" w:hAnsi="Times New Roman" w:cs="Times New Roman"/>
                <w:lang w:eastAsia="tr-TR"/>
              </w:rPr>
              <w:t>Şubat 2014 tarihli ve</w:t>
            </w:r>
            <w:r w:rsidR="00855707">
              <w:rPr>
                <w:rFonts w:ascii="Times New Roman" w:eastAsia="Times New Roman" w:hAnsi="Times New Roman" w:cs="Times New Roman"/>
                <w:lang w:eastAsia="tr-TR"/>
              </w:rPr>
              <w:t xml:space="preserve"> 398</w:t>
            </w:r>
            <w:r>
              <w:rPr>
                <w:rFonts w:ascii="Times New Roman" w:eastAsia="Times New Roman" w:hAnsi="Times New Roman" w:cs="Times New Roman"/>
                <w:lang w:eastAsia="tr-TR"/>
              </w:rPr>
              <w:t xml:space="preserve"> sayılı </w:t>
            </w:r>
            <w:r w:rsidR="00911AB0">
              <w:rPr>
                <w:rFonts w:ascii="Times New Roman" w:eastAsia="Times New Roman" w:hAnsi="Times New Roman" w:cs="Times New Roman"/>
                <w:lang w:eastAsia="tr-TR"/>
              </w:rPr>
              <w:t xml:space="preserve">Bakan Onayı </w:t>
            </w:r>
            <w:r w:rsidR="00644D7E">
              <w:rPr>
                <w:rFonts w:ascii="Times New Roman" w:eastAsia="Times New Roman" w:hAnsi="Times New Roman" w:cs="Times New Roman"/>
                <w:lang w:eastAsia="tr-TR"/>
              </w:rPr>
              <w:t xml:space="preserve">ile </w:t>
            </w:r>
            <w:r w:rsidR="001A078E">
              <w:rPr>
                <w:rFonts w:ascii="Times New Roman" w:eastAsia="Times New Roman" w:hAnsi="Times New Roman" w:cs="Times New Roman"/>
                <w:color w:val="101010"/>
                <w:lang w:eastAsia="tr-TR"/>
              </w:rPr>
              <w:t>a</w:t>
            </w:r>
            <w:r w:rsidR="00644D7E">
              <w:rPr>
                <w:rFonts w:ascii="Times New Roman" w:eastAsia="Times New Roman" w:hAnsi="Times New Roman" w:cs="Times New Roman"/>
                <w:color w:val="101010"/>
                <w:lang w:eastAsia="tr-TR"/>
              </w:rPr>
              <w:t>larak belirlenmiş</w:t>
            </w:r>
            <w:r w:rsidR="001A078E">
              <w:rPr>
                <w:rFonts w:ascii="Times New Roman" w:eastAsia="Times New Roman" w:hAnsi="Times New Roman" w:cs="Times New Roman"/>
                <w:color w:val="101010"/>
                <w:lang w:eastAsia="tr-TR"/>
              </w:rPr>
              <w:t>tir.</w:t>
            </w:r>
            <w:r w:rsidR="00644D7E">
              <w:rPr>
                <w:rFonts w:ascii="Times New Roman" w:eastAsia="Times New Roman" w:hAnsi="Times New Roman" w:cs="Times New Roman"/>
                <w:color w:val="101010"/>
                <w:lang w:eastAsia="tr-TR"/>
              </w:rPr>
              <w:t xml:space="preserve">        </w:t>
            </w:r>
            <w:r w:rsidR="001A078E">
              <w:rPr>
                <w:rFonts w:ascii="Times New Roman" w:eastAsia="Times New Roman" w:hAnsi="Times New Roman" w:cs="Times New Roman"/>
                <w:color w:val="101010"/>
                <w:lang w:eastAsia="tr-TR"/>
              </w:rPr>
              <w:t xml:space="preserve">Toplulaştırılmış projenin alt projeleri arasında aşağıda yer aldığı şekliyle ödenek aktarımı yapılarak </w:t>
            </w:r>
            <w:r w:rsidR="00DF0EB4">
              <w:rPr>
                <w:rFonts w:ascii="Times New Roman" w:eastAsia="Times New Roman" w:hAnsi="Times New Roman" w:cs="Times New Roman"/>
                <w:color w:val="101010"/>
                <w:lang w:eastAsia="tr-TR"/>
              </w:rPr>
              <w:t>20 Mart</w:t>
            </w:r>
            <w:r w:rsidR="00644D7E">
              <w:rPr>
                <w:rFonts w:ascii="Times New Roman" w:eastAsia="Times New Roman" w:hAnsi="Times New Roman" w:cs="Times New Roman"/>
                <w:color w:val="101010"/>
                <w:lang w:eastAsia="tr-TR"/>
              </w:rPr>
              <w:t xml:space="preserve"> 2014 tarih ve 18210 sayılı Bakan Onayı ile revize edilmiştir.</w:t>
            </w:r>
          </w:p>
          <w:tbl>
            <w:tblPr>
              <w:tblW w:w="10436" w:type="dxa"/>
              <w:tblBorders>
                <w:top w:val="single" w:sz="8" w:space="0" w:color="9BBB59" w:themeColor="accent3"/>
                <w:bottom w:val="single" w:sz="8" w:space="0" w:color="9BBB59" w:themeColor="accent3"/>
              </w:tblBorders>
              <w:tblLook w:val="04A0"/>
            </w:tblPr>
            <w:tblGrid>
              <w:gridCol w:w="1501"/>
              <w:gridCol w:w="5096"/>
              <w:gridCol w:w="3839"/>
            </w:tblGrid>
            <w:tr w:rsidR="00652316" w:rsidTr="00AC416F">
              <w:trPr>
                <w:trHeight w:val="434"/>
              </w:trPr>
              <w:tc>
                <w:tcPr>
                  <w:tcW w:w="6597" w:type="dxa"/>
                  <w:gridSpan w:val="2"/>
                  <w:tcBorders>
                    <w:top w:val="single" w:sz="8" w:space="0" w:color="9BBB59" w:themeColor="accent3"/>
                    <w:left w:val="nil"/>
                    <w:bottom w:val="single" w:sz="8" w:space="0" w:color="9BBB59" w:themeColor="accent3"/>
                    <w:right w:val="nil"/>
                  </w:tcBorders>
                  <w:noWrap/>
                  <w:hideMark/>
                </w:tcPr>
                <w:p w:rsidR="00AC416F" w:rsidRDefault="00AC416F" w:rsidP="00652316">
                  <w:pPr>
                    <w:spacing w:after="0" w:line="240" w:lineRule="auto"/>
                    <w:rPr>
                      <w:rFonts w:ascii="Times New Roman" w:eastAsia="Times New Roman" w:hAnsi="Times New Roman" w:cs="Times New Roman"/>
                      <w:bCs/>
                      <w:color w:val="000000"/>
                      <w:lang w:eastAsia="tr-TR"/>
                    </w:rPr>
                  </w:pPr>
                </w:p>
                <w:p w:rsidR="00652316" w:rsidRDefault="00652316" w:rsidP="00652316">
                  <w:pPr>
                    <w:spacing w:after="0" w:line="240" w:lineRule="auto"/>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 xml:space="preserve">Projenin 2014 Yılı Detay Programı; </w:t>
                  </w:r>
                </w:p>
              </w:tc>
              <w:tc>
                <w:tcPr>
                  <w:tcW w:w="3839" w:type="dxa"/>
                  <w:tcBorders>
                    <w:top w:val="single" w:sz="8" w:space="0" w:color="9BBB59" w:themeColor="accent3"/>
                    <w:left w:val="nil"/>
                    <w:bottom w:val="single" w:sz="8" w:space="0" w:color="9BBB59" w:themeColor="accent3"/>
                    <w:right w:val="nil"/>
                  </w:tcBorders>
                  <w:noWrap/>
                  <w:hideMark/>
                </w:tcPr>
                <w:p w:rsidR="00652316" w:rsidRDefault="00652316">
                  <w:pPr>
                    <w:spacing w:after="0" w:line="240" w:lineRule="auto"/>
                    <w:rPr>
                      <w:rFonts w:ascii="Times New Roman" w:hAnsi="Times New Roman" w:cs="Times New Roman"/>
                      <w:sz w:val="24"/>
                      <w:szCs w:val="24"/>
                      <w:lang w:eastAsia="tr-TR"/>
                    </w:rPr>
                  </w:pPr>
                </w:p>
              </w:tc>
            </w:tr>
            <w:tr w:rsidR="00652316" w:rsidTr="004270D9">
              <w:trPr>
                <w:trHeight w:val="186"/>
              </w:trPr>
              <w:tc>
                <w:tcPr>
                  <w:tcW w:w="1501" w:type="dxa"/>
                  <w:tcBorders>
                    <w:top w:val="nil"/>
                    <w:left w:val="nil"/>
                    <w:bottom w:val="nil"/>
                    <w:right w:val="nil"/>
                  </w:tcBorders>
                  <w:shd w:val="clear" w:color="auto" w:fill="E6EED5" w:themeFill="accent3" w:themeFillTint="3F"/>
                  <w:noWrap/>
                  <w:hideMark/>
                </w:tcPr>
                <w:p w:rsidR="00652316" w:rsidRDefault="00652316">
                  <w:pPr>
                    <w:spacing w:after="0" w:line="240" w:lineRule="auto"/>
                    <w:rPr>
                      <w:rFonts w:ascii="Times New Roman" w:hAnsi="Times New Roman" w:cs="Times New Roman"/>
                      <w:sz w:val="24"/>
                      <w:szCs w:val="24"/>
                      <w:lang w:eastAsia="tr-TR"/>
                    </w:rPr>
                  </w:pPr>
                </w:p>
              </w:tc>
              <w:tc>
                <w:tcPr>
                  <w:tcW w:w="5096" w:type="dxa"/>
                  <w:tcBorders>
                    <w:top w:val="nil"/>
                    <w:left w:val="nil"/>
                    <w:bottom w:val="nil"/>
                    <w:right w:val="nil"/>
                  </w:tcBorders>
                  <w:shd w:val="clear" w:color="auto" w:fill="E6EED5" w:themeFill="accent3" w:themeFillTint="3F"/>
                  <w:noWrap/>
                  <w:hideMark/>
                </w:tcPr>
                <w:p w:rsidR="00652316" w:rsidRDefault="00652316">
                  <w:pPr>
                    <w:spacing w:after="0" w:line="240" w:lineRule="auto"/>
                    <w:rPr>
                      <w:rFonts w:ascii="Times New Roman" w:hAnsi="Times New Roman" w:cs="Times New Roman"/>
                      <w:sz w:val="24"/>
                      <w:szCs w:val="24"/>
                      <w:lang w:eastAsia="tr-TR"/>
                    </w:rPr>
                  </w:pPr>
                </w:p>
              </w:tc>
              <w:tc>
                <w:tcPr>
                  <w:tcW w:w="3839" w:type="dxa"/>
                  <w:tcBorders>
                    <w:top w:val="nil"/>
                    <w:left w:val="nil"/>
                    <w:bottom w:val="nil"/>
                    <w:right w:val="nil"/>
                  </w:tcBorders>
                  <w:shd w:val="clear" w:color="auto" w:fill="E6EED5" w:themeFill="accent3" w:themeFillTint="3F"/>
                  <w:noWrap/>
                  <w:hideMark/>
                </w:tcPr>
                <w:p w:rsidR="00652316" w:rsidRDefault="00652316">
                  <w:pPr>
                    <w:spacing w:after="0" w:line="240" w:lineRule="auto"/>
                    <w:rPr>
                      <w:rFonts w:ascii="Times New Roman" w:hAnsi="Times New Roman" w:cs="Times New Roman"/>
                      <w:sz w:val="24"/>
                      <w:szCs w:val="24"/>
                      <w:lang w:eastAsia="tr-TR"/>
                    </w:rPr>
                  </w:pPr>
                </w:p>
              </w:tc>
            </w:tr>
            <w:tr w:rsidR="00652316" w:rsidTr="00BF07B1">
              <w:trPr>
                <w:trHeight w:val="402"/>
              </w:trPr>
              <w:tc>
                <w:tcPr>
                  <w:tcW w:w="1501" w:type="dxa"/>
                  <w:tcBorders>
                    <w:top w:val="nil"/>
                    <w:left w:val="nil"/>
                    <w:bottom w:val="nil"/>
                    <w:right w:val="nil"/>
                  </w:tcBorders>
                  <w:noWrap/>
                  <w:hideMark/>
                </w:tcPr>
                <w:p w:rsidR="00652316" w:rsidRDefault="00652316">
                  <w:pPr>
                    <w:spacing w:after="0" w:line="240" w:lineRule="auto"/>
                    <w:rPr>
                      <w:rFonts w:ascii="Times New Roman" w:hAnsi="Times New Roman" w:cs="Times New Roman"/>
                      <w:sz w:val="24"/>
                      <w:szCs w:val="24"/>
                      <w:lang w:eastAsia="tr-TR"/>
                    </w:rPr>
                  </w:pPr>
                </w:p>
              </w:tc>
              <w:tc>
                <w:tcPr>
                  <w:tcW w:w="5096" w:type="dxa"/>
                  <w:tcBorders>
                    <w:top w:val="nil"/>
                    <w:left w:val="nil"/>
                    <w:bottom w:val="nil"/>
                    <w:right w:val="nil"/>
                  </w:tcBorders>
                  <w:noWrap/>
                  <w:hideMark/>
                </w:tcPr>
                <w:p w:rsidR="00652316" w:rsidRDefault="00652316">
                  <w:pPr>
                    <w:spacing w:after="0" w:line="240" w:lineRule="auto"/>
                    <w:rPr>
                      <w:rFonts w:ascii="Times New Roman" w:hAnsi="Times New Roman" w:cs="Times New Roman"/>
                      <w:sz w:val="24"/>
                      <w:szCs w:val="24"/>
                      <w:lang w:eastAsia="tr-TR"/>
                    </w:rPr>
                  </w:pPr>
                </w:p>
              </w:tc>
              <w:tc>
                <w:tcPr>
                  <w:tcW w:w="3839" w:type="dxa"/>
                  <w:tcBorders>
                    <w:top w:val="nil"/>
                    <w:left w:val="nil"/>
                    <w:bottom w:val="nil"/>
                    <w:right w:val="nil"/>
                  </w:tcBorders>
                  <w:noWrap/>
                  <w:hideMark/>
                </w:tcPr>
                <w:p w:rsidR="00652316" w:rsidRDefault="00652316" w:rsidP="00652316">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2014 Yılı Fiyatlarıyla/</w:t>
                  </w:r>
                  <w:r w:rsidRPr="006F48DE">
                    <w:rPr>
                      <w:rFonts w:ascii="Times New Roman" w:eastAsia="Times New Roman" w:hAnsi="Times New Roman" w:cs="Times New Roman"/>
                      <w:bCs/>
                      <w:color w:val="000000"/>
                      <w:lang w:eastAsia="tr-TR"/>
                    </w:rPr>
                    <w:t>TL</w:t>
                  </w:r>
                </w:p>
              </w:tc>
            </w:tr>
            <w:tr w:rsidR="00652316" w:rsidTr="00BF07B1">
              <w:trPr>
                <w:trHeight w:val="402"/>
              </w:trPr>
              <w:tc>
                <w:tcPr>
                  <w:tcW w:w="1501" w:type="dxa"/>
                  <w:tcBorders>
                    <w:top w:val="nil"/>
                    <w:left w:val="nil"/>
                    <w:bottom w:val="nil"/>
                    <w:right w:val="nil"/>
                  </w:tcBorders>
                  <w:shd w:val="clear" w:color="auto" w:fill="E6EED5" w:themeFill="accent3" w:themeFillTint="3F"/>
                  <w:noWrap/>
                  <w:hideMark/>
                </w:tcPr>
                <w:p w:rsidR="00652316" w:rsidRPr="00BF07B1" w:rsidRDefault="00652316">
                  <w:pPr>
                    <w:spacing w:after="0" w:line="240" w:lineRule="auto"/>
                    <w:jc w:val="center"/>
                    <w:rPr>
                      <w:rFonts w:ascii="Times New Roman" w:eastAsia="Times New Roman" w:hAnsi="Times New Roman" w:cs="Times New Roman"/>
                      <w:b/>
                      <w:color w:val="000000"/>
                      <w:lang w:eastAsia="tr-TR"/>
                    </w:rPr>
                  </w:pPr>
                  <w:r w:rsidRPr="00BF07B1">
                    <w:rPr>
                      <w:rFonts w:ascii="Times New Roman" w:eastAsia="Times New Roman" w:hAnsi="Times New Roman" w:cs="Times New Roman"/>
                      <w:b/>
                      <w:color w:val="000000"/>
                      <w:lang w:eastAsia="tr-TR"/>
                    </w:rPr>
                    <w:t>PROJE NO</w:t>
                  </w:r>
                </w:p>
              </w:tc>
              <w:tc>
                <w:tcPr>
                  <w:tcW w:w="5096" w:type="dxa"/>
                  <w:tcBorders>
                    <w:top w:val="nil"/>
                    <w:left w:val="nil"/>
                    <w:bottom w:val="nil"/>
                    <w:right w:val="nil"/>
                  </w:tcBorders>
                  <w:shd w:val="clear" w:color="auto" w:fill="E6EED5" w:themeFill="accent3" w:themeFillTint="3F"/>
                  <w:noWrap/>
                  <w:hideMark/>
                </w:tcPr>
                <w:p w:rsidR="00652316" w:rsidRDefault="0065231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PROJE ADI</w:t>
                  </w:r>
                </w:p>
              </w:tc>
              <w:tc>
                <w:tcPr>
                  <w:tcW w:w="3839" w:type="dxa"/>
                  <w:tcBorders>
                    <w:top w:val="nil"/>
                    <w:left w:val="nil"/>
                    <w:bottom w:val="nil"/>
                    <w:right w:val="nil"/>
                  </w:tcBorders>
                  <w:shd w:val="clear" w:color="auto" w:fill="E6EED5" w:themeFill="accent3" w:themeFillTint="3F"/>
                  <w:hideMark/>
                </w:tcPr>
                <w:p w:rsidR="00652316" w:rsidRDefault="00652316" w:rsidP="0073601A">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201</w:t>
                  </w:r>
                  <w:r w:rsidR="0073601A">
                    <w:rPr>
                      <w:rFonts w:ascii="Times New Roman" w:eastAsia="Times New Roman" w:hAnsi="Times New Roman" w:cs="Times New Roman"/>
                      <w:b/>
                      <w:bCs/>
                      <w:color w:val="000000"/>
                      <w:lang w:eastAsia="tr-TR"/>
                    </w:rPr>
                    <w:t>4</w:t>
                  </w:r>
                  <w:r>
                    <w:rPr>
                      <w:rFonts w:ascii="Times New Roman" w:eastAsia="Times New Roman" w:hAnsi="Times New Roman" w:cs="Times New Roman"/>
                      <w:b/>
                      <w:bCs/>
                      <w:color w:val="000000"/>
                      <w:lang w:eastAsia="tr-TR"/>
                    </w:rPr>
                    <w:t xml:space="preserve"> YILI ÖDENEK TUTARI</w:t>
                  </w:r>
                </w:p>
              </w:tc>
            </w:tr>
            <w:tr w:rsidR="00652316" w:rsidTr="00BF07B1">
              <w:trPr>
                <w:trHeight w:val="750"/>
              </w:trPr>
              <w:tc>
                <w:tcPr>
                  <w:tcW w:w="1501" w:type="dxa"/>
                  <w:tcBorders>
                    <w:top w:val="nil"/>
                    <w:left w:val="nil"/>
                    <w:bottom w:val="nil"/>
                    <w:right w:val="nil"/>
                  </w:tcBorders>
                  <w:noWrap/>
                  <w:hideMark/>
                </w:tcPr>
                <w:p w:rsidR="00652316" w:rsidRPr="00BF07B1" w:rsidRDefault="00652316">
                  <w:pPr>
                    <w:spacing w:after="0" w:line="240" w:lineRule="auto"/>
                    <w:jc w:val="center"/>
                    <w:rPr>
                      <w:rFonts w:ascii="Times New Roman" w:eastAsia="Times New Roman" w:hAnsi="Times New Roman" w:cs="Times New Roman"/>
                      <w:b/>
                      <w:color w:val="000000"/>
                      <w:lang w:eastAsia="tr-TR"/>
                    </w:rPr>
                  </w:pPr>
                  <w:r w:rsidRPr="00BF07B1">
                    <w:rPr>
                      <w:rFonts w:ascii="Times New Roman" w:eastAsia="Times New Roman" w:hAnsi="Times New Roman" w:cs="Times New Roman"/>
                      <w:b/>
                      <w:color w:val="000000"/>
                      <w:lang w:eastAsia="tr-TR"/>
                    </w:rPr>
                    <w:t>2011E020100</w:t>
                  </w:r>
                </w:p>
              </w:tc>
              <w:tc>
                <w:tcPr>
                  <w:tcW w:w="5096" w:type="dxa"/>
                  <w:tcBorders>
                    <w:top w:val="nil"/>
                    <w:left w:val="nil"/>
                    <w:bottom w:val="nil"/>
                    <w:right w:val="nil"/>
                  </w:tcBorders>
                  <w:hideMark/>
                </w:tcPr>
                <w:p w:rsidR="00652316" w:rsidRDefault="0065231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Yeni İnşaat, Kılavuzluk, Fener Ve Tahlisiye İstasyonları Modernizasyonu</w:t>
                  </w:r>
                </w:p>
              </w:tc>
              <w:tc>
                <w:tcPr>
                  <w:tcW w:w="3839" w:type="dxa"/>
                  <w:tcBorders>
                    <w:top w:val="nil"/>
                    <w:left w:val="nil"/>
                    <w:bottom w:val="nil"/>
                    <w:right w:val="nil"/>
                  </w:tcBorders>
                  <w:noWrap/>
                  <w:hideMark/>
                </w:tcPr>
                <w:p w:rsidR="00652316" w:rsidRDefault="00652316" w:rsidP="0065231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1.800.000</w:t>
                  </w:r>
                </w:p>
              </w:tc>
            </w:tr>
            <w:tr w:rsidR="00652316" w:rsidTr="00BF07B1">
              <w:trPr>
                <w:trHeight w:val="402"/>
              </w:trPr>
              <w:tc>
                <w:tcPr>
                  <w:tcW w:w="1501" w:type="dxa"/>
                  <w:tcBorders>
                    <w:top w:val="nil"/>
                    <w:left w:val="nil"/>
                    <w:bottom w:val="nil"/>
                    <w:right w:val="nil"/>
                  </w:tcBorders>
                  <w:shd w:val="clear" w:color="auto" w:fill="E6EED5" w:themeFill="accent3" w:themeFillTint="3F"/>
                  <w:noWrap/>
                  <w:hideMark/>
                </w:tcPr>
                <w:p w:rsidR="00652316" w:rsidRPr="00BF07B1" w:rsidRDefault="00652316">
                  <w:pPr>
                    <w:spacing w:after="0" w:line="240" w:lineRule="auto"/>
                    <w:jc w:val="center"/>
                    <w:rPr>
                      <w:rFonts w:ascii="Times New Roman" w:eastAsia="Times New Roman" w:hAnsi="Times New Roman" w:cs="Times New Roman"/>
                      <w:b/>
                      <w:color w:val="000000"/>
                      <w:lang w:eastAsia="tr-TR"/>
                    </w:rPr>
                  </w:pPr>
                  <w:r w:rsidRPr="00BF07B1">
                    <w:rPr>
                      <w:rFonts w:ascii="Times New Roman" w:eastAsia="Times New Roman" w:hAnsi="Times New Roman" w:cs="Times New Roman"/>
                      <w:b/>
                      <w:color w:val="000000"/>
                      <w:lang w:eastAsia="tr-TR"/>
                    </w:rPr>
                    <w:t>A-)</w:t>
                  </w:r>
                </w:p>
              </w:tc>
              <w:tc>
                <w:tcPr>
                  <w:tcW w:w="5096" w:type="dxa"/>
                  <w:tcBorders>
                    <w:top w:val="nil"/>
                    <w:left w:val="nil"/>
                    <w:bottom w:val="nil"/>
                    <w:right w:val="nil"/>
                  </w:tcBorders>
                  <w:shd w:val="clear" w:color="auto" w:fill="E6EED5" w:themeFill="accent3" w:themeFillTint="3F"/>
                  <w:noWrap/>
                  <w:hideMark/>
                </w:tcPr>
                <w:p w:rsidR="00652316" w:rsidRDefault="0065231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Yeni İnşaat</w:t>
                  </w:r>
                </w:p>
              </w:tc>
              <w:tc>
                <w:tcPr>
                  <w:tcW w:w="3839" w:type="dxa"/>
                  <w:tcBorders>
                    <w:top w:val="nil"/>
                    <w:left w:val="nil"/>
                    <w:bottom w:val="nil"/>
                    <w:right w:val="nil"/>
                  </w:tcBorders>
                  <w:shd w:val="clear" w:color="auto" w:fill="E6EED5" w:themeFill="accent3" w:themeFillTint="3F"/>
                  <w:noWrap/>
                  <w:hideMark/>
                </w:tcPr>
                <w:p w:rsidR="00652316" w:rsidRDefault="00652316" w:rsidP="0065231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1.000.000</w:t>
                  </w:r>
                </w:p>
              </w:tc>
            </w:tr>
            <w:tr w:rsidR="00652316" w:rsidTr="00BF07B1">
              <w:trPr>
                <w:trHeight w:val="402"/>
              </w:trPr>
              <w:tc>
                <w:tcPr>
                  <w:tcW w:w="1501" w:type="dxa"/>
                  <w:tcBorders>
                    <w:top w:val="nil"/>
                    <w:left w:val="nil"/>
                    <w:bottom w:val="nil"/>
                    <w:right w:val="nil"/>
                  </w:tcBorders>
                  <w:noWrap/>
                  <w:hideMark/>
                </w:tcPr>
                <w:p w:rsidR="00652316" w:rsidRDefault="00652316">
                  <w:pPr>
                    <w:spacing w:after="0" w:line="240" w:lineRule="auto"/>
                    <w:rPr>
                      <w:rFonts w:ascii="Times New Roman" w:hAnsi="Times New Roman" w:cs="Times New Roman"/>
                      <w:sz w:val="24"/>
                      <w:szCs w:val="24"/>
                      <w:lang w:eastAsia="tr-TR"/>
                    </w:rPr>
                  </w:pPr>
                </w:p>
              </w:tc>
              <w:tc>
                <w:tcPr>
                  <w:tcW w:w="5096" w:type="dxa"/>
                  <w:tcBorders>
                    <w:top w:val="nil"/>
                    <w:left w:val="nil"/>
                    <w:bottom w:val="nil"/>
                    <w:right w:val="nil"/>
                  </w:tcBorders>
                  <w:noWrap/>
                  <w:hideMark/>
                </w:tcPr>
                <w:p w:rsidR="00652316" w:rsidRDefault="0065231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Mehmetçik Kılavuzluk İstasyonu Binası İnşaatı (Çanakkale)</w:t>
                  </w:r>
                </w:p>
              </w:tc>
              <w:tc>
                <w:tcPr>
                  <w:tcW w:w="3839" w:type="dxa"/>
                  <w:tcBorders>
                    <w:top w:val="nil"/>
                    <w:left w:val="nil"/>
                    <w:bottom w:val="nil"/>
                    <w:right w:val="nil"/>
                  </w:tcBorders>
                  <w:noWrap/>
                  <w:hideMark/>
                </w:tcPr>
                <w:p w:rsidR="00652316" w:rsidRDefault="00652316" w:rsidP="0065231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1.000.000</w:t>
                  </w:r>
                </w:p>
              </w:tc>
            </w:tr>
            <w:tr w:rsidR="00652316" w:rsidTr="00AC416F">
              <w:trPr>
                <w:trHeight w:val="356"/>
              </w:trPr>
              <w:tc>
                <w:tcPr>
                  <w:tcW w:w="1501" w:type="dxa"/>
                  <w:tcBorders>
                    <w:top w:val="nil"/>
                    <w:left w:val="nil"/>
                    <w:bottom w:val="nil"/>
                    <w:right w:val="nil"/>
                  </w:tcBorders>
                  <w:shd w:val="clear" w:color="auto" w:fill="E6EED5" w:themeFill="accent3" w:themeFillTint="3F"/>
                  <w:noWrap/>
                  <w:hideMark/>
                </w:tcPr>
                <w:p w:rsidR="00652316" w:rsidRPr="00BF07B1" w:rsidRDefault="00652316">
                  <w:pPr>
                    <w:spacing w:after="0" w:line="240" w:lineRule="auto"/>
                    <w:jc w:val="center"/>
                    <w:rPr>
                      <w:rFonts w:ascii="Times New Roman" w:eastAsia="Times New Roman" w:hAnsi="Times New Roman" w:cs="Times New Roman"/>
                      <w:b/>
                      <w:color w:val="000000"/>
                      <w:lang w:eastAsia="tr-TR"/>
                    </w:rPr>
                  </w:pPr>
                  <w:r w:rsidRPr="00BF07B1">
                    <w:rPr>
                      <w:rFonts w:ascii="Times New Roman" w:eastAsia="Times New Roman" w:hAnsi="Times New Roman" w:cs="Times New Roman"/>
                      <w:b/>
                      <w:color w:val="000000"/>
                      <w:lang w:eastAsia="tr-TR"/>
                    </w:rPr>
                    <w:t>B-)</w:t>
                  </w:r>
                </w:p>
              </w:tc>
              <w:tc>
                <w:tcPr>
                  <w:tcW w:w="5096" w:type="dxa"/>
                  <w:tcBorders>
                    <w:top w:val="nil"/>
                    <w:left w:val="nil"/>
                    <w:bottom w:val="nil"/>
                    <w:right w:val="nil"/>
                  </w:tcBorders>
                  <w:shd w:val="clear" w:color="auto" w:fill="E6EED5" w:themeFill="accent3" w:themeFillTint="3F"/>
                  <w:noWrap/>
                  <w:hideMark/>
                </w:tcPr>
                <w:p w:rsidR="00652316" w:rsidRDefault="0065231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Onarım ve Modernizasyon İşleri</w:t>
                  </w:r>
                </w:p>
              </w:tc>
              <w:tc>
                <w:tcPr>
                  <w:tcW w:w="3839" w:type="dxa"/>
                  <w:tcBorders>
                    <w:top w:val="nil"/>
                    <w:left w:val="nil"/>
                    <w:bottom w:val="nil"/>
                    <w:right w:val="nil"/>
                  </w:tcBorders>
                  <w:shd w:val="clear" w:color="auto" w:fill="E6EED5" w:themeFill="accent3" w:themeFillTint="3F"/>
                  <w:noWrap/>
                  <w:hideMark/>
                </w:tcPr>
                <w:p w:rsidR="00652316" w:rsidRDefault="00644D7E" w:rsidP="0065231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r>
            <w:tr w:rsidR="00652316" w:rsidTr="00BF07B1">
              <w:trPr>
                <w:trHeight w:val="402"/>
              </w:trPr>
              <w:tc>
                <w:tcPr>
                  <w:tcW w:w="1501" w:type="dxa"/>
                  <w:tcBorders>
                    <w:top w:val="nil"/>
                    <w:left w:val="nil"/>
                    <w:bottom w:val="nil"/>
                    <w:right w:val="nil"/>
                  </w:tcBorders>
                  <w:noWrap/>
                  <w:hideMark/>
                </w:tcPr>
                <w:p w:rsidR="00652316" w:rsidRDefault="00652316">
                  <w:pPr>
                    <w:spacing w:after="0" w:line="240" w:lineRule="auto"/>
                    <w:rPr>
                      <w:rFonts w:ascii="Times New Roman" w:hAnsi="Times New Roman" w:cs="Times New Roman"/>
                      <w:sz w:val="24"/>
                      <w:szCs w:val="24"/>
                      <w:lang w:eastAsia="tr-TR"/>
                    </w:rPr>
                  </w:pPr>
                </w:p>
              </w:tc>
              <w:tc>
                <w:tcPr>
                  <w:tcW w:w="5096" w:type="dxa"/>
                  <w:tcBorders>
                    <w:top w:val="nil"/>
                    <w:left w:val="nil"/>
                    <w:bottom w:val="nil"/>
                    <w:right w:val="nil"/>
                  </w:tcBorders>
                  <w:noWrap/>
                  <w:hideMark/>
                </w:tcPr>
                <w:p w:rsidR="00652316" w:rsidRDefault="00652316">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Ahırkapı</w:t>
                  </w:r>
                  <w:proofErr w:type="spellEnd"/>
                  <w:r>
                    <w:rPr>
                      <w:rFonts w:ascii="Times New Roman" w:eastAsia="Times New Roman" w:hAnsi="Times New Roman" w:cs="Times New Roman"/>
                      <w:color w:val="000000"/>
                      <w:lang w:eastAsia="tr-TR"/>
                    </w:rPr>
                    <w:t xml:space="preserve"> Feneri Tadilat ve Onarımı</w:t>
                  </w:r>
                </w:p>
                <w:p w:rsidR="00652316" w:rsidRDefault="0065231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Ölüce Fener ve Lojman Binası Tadilat ve Onarımı</w:t>
                  </w:r>
                  <w:r w:rsidR="00644D7E">
                    <w:rPr>
                      <w:rFonts w:ascii="Times New Roman" w:eastAsia="Times New Roman" w:hAnsi="Times New Roman" w:cs="Times New Roman"/>
                      <w:color w:val="000000"/>
                      <w:lang w:eastAsia="tr-TR"/>
                    </w:rPr>
                    <w:t xml:space="preserve">                                                        </w:t>
                  </w:r>
                </w:p>
              </w:tc>
              <w:tc>
                <w:tcPr>
                  <w:tcW w:w="3839" w:type="dxa"/>
                  <w:tcBorders>
                    <w:top w:val="nil"/>
                    <w:left w:val="nil"/>
                    <w:bottom w:val="nil"/>
                    <w:right w:val="nil"/>
                  </w:tcBorders>
                  <w:noWrap/>
                  <w:hideMark/>
                </w:tcPr>
                <w:p w:rsidR="00652316" w:rsidRDefault="00644D7E">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p w:rsidR="00644D7E" w:rsidRDefault="00644D7E">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r>
            <w:tr w:rsidR="00652316" w:rsidTr="00AC416F">
              <w:trPr>
                <w:trHeight w:val="342"/>
              </w:trPr>
              <w:tc>
                <w:tcPr>
                  <w:tcW w:w="1501" w:type="dxa"/>
                  <w:tcBorders>
                    <w:top w:val="nil"/>
                    <w:left w:val="nil"/>
                    <w:bottom w:val="nil"/>
                    <w:right w:val="nil"/>
                  </w:tcBorders>
                  <w:shd w:val="clear" w:color="auto" w:fill="E6EED5" w:themeFill="accent3" w:themeFillTint="3F"/>
                  <w:noWrap/>
                  <w:hideMark/>
                </w:tcPr>
                <w:p w:rsidR="00652316" w:rsidRPr="00BF07B1" w:rsidRDefault="00652316">
                  <w:pPr>
                    <w:spacing w:after="0" w:line="240" w:lineRule="auto"/>
                    <w:jc w:val="center"/>
                    <w:rPr>
                      <w:rFonts w:ascii="Times New Roman" w:eastAsia="Times New Roman" w:hAnsi="Times New Roman" w:cs="Times New Roman"/>
                      <w:b/>
                      <w:color w:val="000000"/>
                      <w:lang w:eastAsia="tr-TR"/>
                    </w:rPr>
                  </w:pPr>
                  <w:r w:rsidRPr="00BF07B1">
                    <w:rPr>
                      <w:rFonts w:ascii="Times New Roman" w:eastAsia="Times New Roman" w:hAnsi="Times New Roman" w:cs="Times New Roman"/>
                      <w:b/>
                      <w:color w:val="000000"/>
                      <w:lang w:eastAsia="tr-TR"/>
                    </w:rPr>
                    <w:t>C-)</w:t>
                  </w:r>
                </w:p>
              </w:tc>
              <w:tc>
                <w:tcPr>
                  <w:tcW w:w="5096" w:type="dxa"/>
                  <w:tcBorders>
                    <w:top w:val="nil"/>
                    <w:left w:val="nil"/>
                    <w:bottom w:val="nil"/>
                    <w:right w:val="nil"/>
                  </w:tcBorders>
                  <w:shd w:val="clear" w:color="auto" w:fill="E6EED5" w:themeFill="accent3" w:themeFillTint="3F"/>
                  <w:noWrap/>
                  <w:hideMark/>
                </w:tcPr>
                <w:p w:rsidR="00652316" w:rsidRDefault="0065231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Etüt Proje İşleri</w:t>
                  </w:r>
                </w:p>
              </w:tc>
              <w:tc>
                <w:tcPr>
                  <w:tcW w:w="3839" w:type="dxa"/>
                  <w:tcBorders>
                    <w:top w:val="nil"/>
                    <w:left w:val="nil"/>
                    <w:bottom w:val="nil"/>
                    <w:right w:val="nil"/>
                  </w:tcBorders>
                  <w:shd w:val="clear" w:color="auto" w:fill="EAF1DD" w:themeFill="accent3" w:themeFillTint="33"/>
                  <w:noWrap/>
                  <w:hideMark/>
                </w:tcPr>
                <w:p w:rsidR="00652316" w:rsidRDefault="0065231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150.000</w:t>
                  </w:r>
                </w:p>
              </w:tc>
            </w:tr>
            <w:tr w:rsidR="00652316" w:rsidTr="00AC416F">
              <w:trPr>
                <w:trHeight w:val="1042"/>
              </w:trPr>
              <w:tc>
                <w:tcPr>
                  <w:tcW w:w="1501" w:type="dxa"/>
                  <w:tcBorders>
                    <w:top w:val="nil"/>
                    <w:left w:val="nil"/>
                    <w:bottom w:val="nil"/>
                    <w:right w:val="nil"/>
                  </w:tcBorders>
                  <w:noWrap/>
                  <w:hideMark/>
                </w:tcPr>
                <w:p w:rsidR="00652316" w:rsidRDefault="00652316">
                  <w:pPr>
                    <w:spacing w:after="0" w:line="240" w:lineRule="auto"/>
                    <w:rPr>
                      <w:rFonts w:ascii="Times New Roman" w:hAnsi="Times New Roman" w:cs="Times New Roman"/>
                      <w:sz w:val="24"/>
                      <w:szCs w:val="24"/>
                      <w:lang w:eastAsia="tr-TR"/>
                    </w:rPr>
                  </w:pPr>
                </w:p>
              </w:tc>
              <w:tc>
                <w:tcPr>
                  <w:tcW w:w="5096" w:type="dxa"/>
                  <w:tcBorders>
                    <w:top w:val="nil"/>
                    <w:left w:val="nil"/>
                    <w:bottom w:val="nil"/>
                    <w:right w:val="nil"/>
                  </w:tcBorders>
                  <w:noWrap/>
                  <w:hideMark/>
                </w:tcPr>
                <w:p w:rsidR="00652316" w:rsidRDefault="00652316" w:rsidP="00652316">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Büyükdere</w:t>
                  </w:r>
                  <w:proofErr w:type="spellEnd"/>
                  <w:r>
                    <w:rPr>
                      <w:rFonts w:ascii="Times New Roman" w:eastAsia="Times New Roman" w:hAnsi="Times New Roman" w:cs="Times New Roman"/>
                      <w:color w:val="000000"/>
                      <w:lang w:eastAsia="tr-TR"/>
                    </w:rPr>
                    <w:t xml:space="preserve"> Acil Müdahale Hizmet Binası Projesi ile İlgili İşler</w:t>
                  </w:r>
                </w:p>
                <w:p w:rsidR="00652316" w:rsidRDefault="00652316" w:rsidP="00652316">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Büyükdere</w:t>
                  </w:r>
                  <w:proofErr w:type="spellEnd"/>
                  <w:r>
                    <w:rPr>
                      <w:rFonts w:ascii="Times New Roman" w:eastAsia="Times New Roman" w:hAnsi="Times New Roman" w:cs="Times New Roman"/>
                      <w:color w:val="000000"/>
                      <w:lang w:eastAsia="tr-TR"/>
                    </w:rPr>
                    <w:t xml:space="preserve"> Acil Müdahale İstasyonu İskele Uzatılması Projesi ile İlgili İşler</w:t>
                  </w:r>
                </w:p>
                <w:p w:rsidR="00652316" w:rsidRDefault="00652316" w:rsidP="00652316">
                  <w:pPr>
                    <w:spacing w:after="0" w:line="240" w:lineRule="auto"/>
                    <w:rPr>
                      <w:rFonts w:ascii="Times New Roman" w:eastAsia="Times New Roman" w:hAnsi="Times New Roman" w:cs="Times New Roman"/>
                      <w:color w:val="000000"/>
                      <w:lang w:eastAsia="tr-TR"/>
                    </w:rPr>
                  </w:pPr>
                </w:p>
              </w:tc>
              <w:tc>
                <w:tcPr>
                  <w:tcW w:w="3839" w:type="dxa"/>
                  <w:tcBorders>
                    <w:top w:val="nil"/>
                    <w:left w:val="nil"/>
                    <w:bottom w:val="nil"/>
                    <w:right w:val="nil"/>
                  </w:tcBorders>
                  <w:noWrap/>
                  <w:hideMark/>
                </w:tcPr>
                <w:p w:rsidR="00652316" w:rsidRDefault="0065231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100.000</w:t>
                  </w:r>
                </w:p>
                <w:p w:rsidR="00652316" w:rsidRDefault="00652316">
                  <w:pPr>
                    <w:spacing w:after="0" w:line="240" w:lineRule="auto"/>
                    <w:jc w:val="right"/>
                    <w:rPr>
                      <w:rFonts w:ascii="Times New Roman" w:eastAsia="Times New Roman" w:hAnsi="Times New Roman" w:cs="Times New Roman"/>
                      <w:color w:val="000000"/>
                      <w:lang w:eastAsia="tr-TR"/>
                    </w:rPr>
                  </w:pPr>
                </w:p>
                <w:p w:rsidR="00652316" w:rsidRDefault="0065231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50.000</w:t>
                  </w:r>
                </w:p>
                <w:p w:rsidR="00652316" w:rsidRDefault="00652316">
                  <w:pPr>
                    <w:spacing w:after="0" w:line="240" w:lineRule="auto"/>
                    <w:jc w:val="right"/>
                    <w:rPr>
                      <w:rFonts w:ascii="Times New Roman" w:eastAsia="Times New Roman" w:hAnsi="Times New Roman" w:cs="Times New Roman"/>
                      <w:color w:val="000000"/>
                      <w:lang w:eastAsia="tr-TR"/>
                    </w:rPr>
                  </w:pPr>
                </w:p>
              </w:tc>
            </w:tr>
            <w:tr w:rsidR="00652316" w:rsidTr="00AC416F">
              <w:trPr>
                <w:trHeight w:val="352"/>
              </w:trPr>
              <w:tc>
                <w:tcPr>
                  <w:tcW w:w="1501" w:type="dxa"/>
                  <w:tcBorders>
                    <w:top w:val="nil"/>
                    <w:left w:val="nil"/>
                    <w:bottom w:val="nil"/>
                    <w:right w:val="nil"/>
                  </w:tcBorders>
                  <w:shd w:val="clear" w:color="auto" w:fill="EAF1DD" w:themeFill="accent3" w:themeFillTint="33"/>
                  <w:noWrap/>
                  <w:hideMark/>
                </w:tcPr>
                <w:p w:rsidR="00652316" w:rsidRPr="00BF07B1" w:rsidRDefault="00BF07B1" w:rsidP="00B000D0">
                  <w:pPr>
                    <w:spacing w:after="0" w:line="24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w:t>
                  </w:r>
                  <w:r w:rsidR="00652316" w:rsidRPr="00BF07B1">
                    <w:rPr>
                      <w:rFonts w:ascii="Times New Roman" w:eastAsia="Times New Roman" w:hAnsi="Times New Roman" w:cs="Times New Roman"/>
                      <w:b/>
                      <w:color w:val="000000"/>
                      <w:lang w:eastAsia="tr-TR"/>
                    </w:rPr>
                    <w:t>-)</w:t>
                  </w:r>
                </w:p>
              </w:tc>
              <w:tc>
                <w:tcPr>
                  <w:tcW w:w="5096" w:type="dxa"/>
                  <w:tcBorders>
                    <w:top w:val="nil"/>
                    <w:left w:val="nil"/>
                    <w:bottom w:val="nil"/>
                    <w:right w:val="nil"/>
                  </w:tcBorders>
                  <w:shd w:val="clear" w:color="auto" w:fill="EAF1DD" w:themeFill="accent3" w:themeFillTint="33"/>
                  <w:noWrap/>
                  <w:hideMark/>
                </w:tcPr>
                <w:p w:rsidR="00652316" w:rsidRDefault="00652316" w:rsidP="0065231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Muhtelif İşleri</w:t>
                  </w:r>
                </w:p>
              </w:tc>
              <w:tc>
                <w:tcPr>
                  <w:tcW w:w="3839" w:type="dxa"/>
                  <w:tcBorders>
                    <w:top w:val="nil"/>
                    <w:left w:val="nil"/>
                    <w:bottom w:val="nil"/>
                    <w:right w:val="nil"/>
                  </w:tcBorders>
                  <w:shd w:val="clear" w:color="auto" w:fill="EAF1DD" w:themeFill="accent3" w:themeFillTint="33"/>
                  <w:noWrap/>
                  <w:hideMark/>
                </w:tcPr>
                <w:p w:rsidR="00652316" w:rsidRDefault="00644D7E" w:rsidP="0065231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65</w:t>
                  </w:r>
                  <w:r w:rsidR="00652316">
                    <w:rPr>
                      <w:rFonts w:ascii="Times New Roman" w:eastAsia="Times New Roman" w:hAnsi="Times New Roman" w:cs="Times New Roman"/>
                      <w:b/>
                      <w:bCs/>
                      <w:color w:val="000000"/>
                      <w:lang w:eastAsia="tr-TR"/>
                    </w:rPr>
                    <w:t>0.000</w:t>
                  </w:r>
                </w:p>
              </w:tc>
            </w:tr>
            <w:tr w:rsidR="00652316" w:rsidTr="00BF07B1">
              <w:trPr>
                <w:trHeight w:val="402"/>
              </w:trPr>
              <w:tc>
                <w:tcPr>
                  <w:tcW w:w="1501" w:type="dxa"/>
                  <w:tcBorders>
                    <w:top w:val="nil"/>
                    <w:left w:val="nil"/>
                    <w:bottom w:val="single" w:sz="8" w:space="0" w:color="9BBB59" w:themeColor="accent3"/>
                    <w:right w:val="nil"/>
                  </w:tcBorders>
                  <w:noWrap/>
                  <w:hideMark/>
                </w:tcPr>
                <w:p w:rsidR="00652316" w:rsidRPr="00652316" w:rsidRDefault="00652316" w:rsidP="00B000D0">
                  <w:pPr>
                    <w:spacing w:after="0" w:line="240" w:lineRule="auto"/>
                    <w:jc w:val="center"/>
                    <w:rPr>
                      <w:rFonts w:ascii="Times New Roman" w:eastAsia="Times New Roman" w:hAnsi="Times New Roman" w:cs="Times New Roman"/>
                      <w:color w:val="000000"/>
                      <w:lang w:eastAsia="tr-TR"/>
                    </w:rPr>
                  </w:pPr>
                </w:p>
              </w:tc>
              <w:tc>
                <w:tcPr>
                  <w:tcW w:w="5096" w:type="dxa"/>
                  <w:tcBorders>
                    <w:top w:val="nil"/>
                    <w:left w:val="nil"/>
                    <w:bottom w:val="single" w:sz="8" w:space="0" w:color="9BBB59" w:themeColor="accent3"/>
                    <w:right w:val="nil"/>
                  </w:tcBorders>
                  <w:noWrap/>
                  <w:hideMark/>
                </w:tcPr>
                <w:p w:rsidR="00652316" w:rsidRPr="00652316" w:rsidRDefault="00652316" w:rsidP="00652316">
                  <w:pPr>
                    <w:spacing w:after="0" w:line="240" w:lineRule="auto"/>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 xml:space="preserve"> </w:t>
                  </w:r>
                  <w:r w:rsidRPr="00652316">
                    <w:rPr>
                      <w:rFonts w:ascii="Times New Roman" w:eastAsia="Times New Roman" w:hAnsi="Times New Roman" w:cs="Times New Roman"/>
                      <w:bCs/>
                      <w:color w:val="000000"/>
                      <w:lang w:eastAsia="tr-TR"/>
                    </w:rPr>
                    <w:t>Muhtelif</w:t>
                  </w:r>
                </w:p>
              </w:tc>
              <w:tc>
                <w:tcPr>
                  <w:tcW w:w="3839" w:type="dxa"/>
                  <w:tcBorders>
                    <w:top w:val="nil"/>
                    <w:left w:val="nil"/>
                    <w:bottom w:val="single" w:sz="8" w:space="0" w:color="9BBB59" w:themeColor="accent3"/>
                    <w:right w:val="nil"/>
                  </w:tcBorders>
                  <w:noWrap/>
                  <w:hideMark/>
                </w:tcPr>
                <w:p w:rsidR="00652316" w:rsidRPr="00652316" w:rsidRDefault="00644D7E" w:rsidP="00644D7E">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650</w:t>
                  </w:r>
                  <w:r w:rsidR="00652316" w:rsidRPr="00652316">
                    <w:rPr>
                      <w:rFonts w:ascii="Times New Roman" w:eastAsia="Times New Roman" w:hAnsi="Times New Roman" w:cs="Times New Roman"/>
                      <w:bCs/>
                      <w:color w:val="000000"/>
                      <w:lang w:eastAsia="tr-TR"/>
                    </w:rPr>
                    <w:t>.000</w:t>
                  </w:r>
                </w:p>
              </w:tc>
            </w:tr>
          </w:tbl>
          <w:p w:rsidR="0073601A" w:rsidRDefault="0073601A" w:rsidP="0073601A">
            <w:pPr>
              <w:spacing w:before="100" w:beforeAutospacing="1" w:after="100" w:afterAutospacing="1" w:line="240" w:lineRule="auto"/>
              <w:jc w:val="both"/>
              <w:rPr>
                <w:rFonts w:ascii="Times New Roman" w:eastAsia="Times New Roman" w:hAnsi="Times New Roman" w:cs="Times New Roman"/>
                <w:color w:val="101010"/>
                <w:lang w:eastAsia="tr-TR"/>
              </w:rPr>
            </w:pPr>
          </w:p>
        </w:tc>
      </w:tr>
      <w:tr w:rsidR="00652316" w:rsidTr="00644D7E">
        <w:trPr>
          <w:trHeight w:val="600"/>
          <w:tblCellSpacing w:w="0" w:type="dxa"/>
          <w:jc w:val="center"/>
        </w:trPr>
        <w:tc>
          <w:tcPr>
            <w:tcW w:w="5000" w:type="pct"/>
            <w:vAlign w:val="center"/>
            <w:hideMark/>
          </w:tcPr>
          <w:p w:rsidR="00652316" w:rsidRDefault="00652316">
            <w:pPr>
              <w:spacing w:after="0"/>
              <w:rPr>
                <w:rFonts w:cs="Times New Roman"/>
              </w:rPr>
            </w:pPr>
          </w:p>
        </w:tc>
      </w:tr>
    </w:tbl>
    <w:p w:rsidR="000D52CF" w:rsidRDefault="000D52CF"/>
    <w:sectPr w:rsidR="000D52CF" w:rsidSect="007360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7F5F"/>
    <w:multiLevelType w:val="multilevel"/>
    <w:tmpl w:val="72A6C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52316"/>
    <w:rsid w:val="00020E49"/>
    <w:rsid w:val="000A646A"/>
    <w:rsid w:val="000D23FE"/>
    <w:rsid w:val="000D52CF"/>
    <w:rsid w:val="00132010"/>
    <w:rsid w:val="001A078E"/>
    <w:rsid w:val="003A0462"/>
    <w:rsid w:val="004270D9"/>
    <w:rsid w:val="004B4C53"/>
    <w:rsid w:val="00644D7E"/>
    <w:rsid w:val="00652316"/>
    <w:rsid w:val="006F48DE"/>
    <w:rsid w:val="0073601A"/>
    <w:rsid w:val="00810F7C"/>
    <w:rsid w:val="00855707"/>
    <w:rsid w:val="008679F9"/>
    <w:rsid w:val="00911AB0"/>
    <w:rsid w:val="00930AF3"/>
    <w:rsid w:val="00AA3595"/>
    <w:rsid w:val="00AC416F"/>
    <w:rsid w:val="00B46C2E"/>
    <w:rsid w:val="00BF07B1"/>
    <w:rsid w:val="00D855DF"/>
    <w:rsid w:val="00DA12E5"/>
    <w:rsid w:val="00DF0EB4"/>
    <w:rsid w:val="00E654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2-Vurgu1">
    <w:name w:val="Medium List 2 Accent 1"/>
    <w:basedOn w:val="NormalTablo"/>
    <w:uiPriority w:val="66"/>
    <w:rsid w:val="008679F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2757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76FB8-A44B-4823-ACA7-973315FB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nilufer.sargin</dc:creator>
  <cp:lastModifiedBy>nilufer.sargin</cp:lastModifiedBy>
  <cp:revision>13</cp:revision>
  <dcterms:created xsi:type="dcterms:W3CDTF">2014-04-09T07:59:00Z</dcterms:created>
  <dcterms:modified xsi:type="dcterms:W3CDTF">2014-04-10T11:36:00Z</dcterms:modified>
</cp:coreProperties>
</file>